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66" w:rsidRDefault="00051066">
      <w:pPr>
        <w:spacing w:after="120"/>
        <w:rPr>
          <w:sz w:val="22"/>
          <w:szCs w:val="22"/>
          <w:u w:val="single"/>
        </w:rPr>
      </w:pPr>
    </w:p>
    <w:p w:rsidR="00051066" w:rsidRDefault="00051066">
      <w:pPr>
        <w:rPr>
          <w:sz w:val="22"/>
          <w:szCs w:val="22"/>
        </w:rPr>
      </w:pPr>
    </w:p>
    <w:p w:rsidR="00051066" w:rsidRDefault="00051066">
      <w:pPr>
        <w:rPr>
          <w:sz w:val="22"/>
          <w:szCs w:val="22"/>
        </w:rPr>
      </w:pPr>
    </w:p>
    <w:p w:rsidR="00051066" w:rsidRDefault="00783C9F">
      <w:pPr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sz w:val="22"/>
          <w:szCs w:val="22"/>
        </w:rPr>
        <w:t xml:space="preserve">NOTIFICATION OF </w:t>
      </w:r>
      <w:r w:rsidR="00B76BC3">
        <w:rPr>
          <w:rFonts w:ascii="Arial Black" w:eastAsia="Arial Black" w:hAnsi="Arial Black" w:cs="Arial Black"/>
          <w:sz w:val="22"/>
          <w:szCs w:val="22"/>
        </w:rPr>
        <w:t xml:space="preserve">SECOND </w:t>
      </w:r>
      <w:r>
        <w:rPr>
          <w:rFonts w:ascii="Arial Black" w:eastAsia="Arial Black" w:hAnsi="Arial Black" w:cs="Arial Black"/>
          <w:sz w:val="22"/>
          <w:szCs w:val="22"/>
        </w:rPr>
        <w:t>HEARING – SUMMONS</w:t>
      </w: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228600" distR="228600" simplePos="0" relativeHeight="251658240" behindDoc="0" locked="0" layoutInCell="1" hidden="0" allowOverlap="1">
                <wp:simplePos x="0" y="0"/>
                <wp:positionH relativeFrom="margin">
                  <wp:posOffset>-809625</wp:posOffset>
                </wp:positionH>
                <wp:positionV relativeFrom="margin">
                  <wp:posOffset>964565</wp:posOffset>
                </wp:positionV>
                <wp:extent cx="1847850" cy="6481445"/>
                <wp:effectExtent l="19050" t="0" r="0" b="0"/>
                <wp:wrapSquare wrapText="bothSides" distT="0" distB="0" distL="228600" distR="2286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8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txbx>
                        <w:txbxContent>
                          <w:p w:rsidR="00783C9F" w:rsidRDefault="00783C9F" w:rsidP="00783C9F">
                            <w:pPr>
                              <w:spacing w:after="24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191919"/>
                                <w:sz w:val="32"/>
                                <w:u w:val="single"/>
                              </w:rPr>
                              <w:t>SARB BOARD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Chairperson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SARB Support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District Attorney Investigator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Education Liaison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DHHS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Superintendent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Superintendent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Principal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Superintendent</w:t>
                            </w:r>
                          </w:p>
                          <w:p w:rsidR="00783C9F" w:rsidRDefault="00783C9F" w:rsidP="00783C9F">
                            <w:pPr>
                              <w:jc w:val="center"/>
                              <w:textDirection w:val="btLr"/>
                            </w:pPr>
                          </w:p>
                          <w:p w:rsidR="00783C9F" w:rsidRPr="00C756CB" w:rsidRDefault="00783C9F" w:rsidP="00783C9F">
                            <w:pPr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  <w:p w:rsidR="00783C9F" w:rsidRPr="00C756CB" w:rsidRDefault="00783C9F" w:rsidP="00783C9F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C756CB">
                              <w:rPr>
                                <w:color w:val="000000"/>
                                <w:sz w:val="16"/>
                              </w:rPr>
                              <w:t>Supervising Probation Officer</w:t>
                            </w:r>
                          </w:p>
                          <w:p w:rsidR="00783C9F" w:rsidRPr="00C756CB" w:rsidRDefault="00783C9F" w:rsidP="00783C9F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C756CB">
                              <w:rPr>
                                <w:color w:val="000000"/>
                                <w:sz w:val="16"/>
                              </w:rPr>
                              <w:t>Juvenile Probation</w:t>
                            </w:r>
                          </w:p>
                          <w:p w:rsidR="00783C9F" w:rsidRPr="00C756CB" w:rsidRDefault="00783C9F" w:rsidP="00783C9F">
                            <w:pPr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  <w:p w:rsidR="00C756CB" w:rsidRPr="00C756CB" w:rsidRDefault="00C756CB" w:rsidP="00783C9F">
                            <w:pPr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  <w:p w:rsidR="00783C9F" w:rsidRPr="00C756CB" w:rsidRDefault="00C756CB" w:rsidP="00783C9F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C756CB">
                              <w:rPr>
                                <w:color w:val="000000"/>
                                <w:sz w:val="16"/>
                              </w:rPr>
                              <w:t>Family Resource Center</w:t>
                            </w:r>
                          </w:p>
                          <w:p w:rsidR="00C756CB" w:rsidRDefault="00C756CB" w:rsidP="00783C9F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:rsidR="00C756CB" w:rsidRPr="00C756CB" w:rsidRDefault="00C756CB" w:rsidP="00783C9F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:rsidR="00C756CB" w:rsidRPr="00C756CB" w:rsidRDefault="00C756CB" w:rsidP="00783C9F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sz w:val="16"/>
                              </w:rPr>
                            </w:pPr>
                            <w:r w:rsidRPr="00C756CB">
                              <w:rPr>
                                <w:sz w:val="16"/>
                              </w:rPr>
                              <w:t>County Office of Education</w:t>
                            </w:r>
                          </w:p>
                          <w:p w:rsidR="00051066" w:rsidRDefault="0005106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228600" tIns="137150" rIns="0" bIns="13715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-63.75pt;margin-top:75.95pt;width:145.5pt;height:510.35pt;z-index:25165824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tsEQIAABkEAAAOAAAAZHJzL2Uyb0RvYy54bWysU8GO0zAQvSPxD5bvNEnpdkPVdIV2VYS0&#10;gkoFcXYdp7Hk2GY8bdK/Z+xku7vACdGDO2NPnt97M17fDZ1hZwVBO1vxYpZzpqx0tbbHin//tn1X&#10;chZQ2FoYZ1XFLyrwu83bN+ver9Tctc7UChiB2LDqfcVbRL/KsiBb1Ykwc15ZOmwcdAIphWNWg+gJ&#10;vTPZPM+XWe+g9uCkCoF2H8ZDvkn4TaMkfm2aoJCZihM3TCuk9RDXbLMWqyMI32o50RD/wKIT2tKl&#10;V6gHgYKdQP8B1WkJLrgGZ9J1mWsaLVXSQGqK/Dc1+1Z4lbSQOcFfbQr/D1Z+Oe+A6Zp6x5kVHbUo&#10;etL7sKKjvd/BlAUKo8ChgS7+E3U2JB8vVx/VgEzSZlEubssbslvS2XJRFovFTUTNnj/3EPCTch2L&#10;QcWBGpX8E+fHgGPpU0m8LTij6602JiVxONS9AXYW1FaDxQT+qsrYWGtd/GoEHHdUmgq6Jak4oYJ9&#10;W/es1pFH8SGPvGtNI1LkZR5/nAlzpOEGzsDhD41t6ktU/Rc2QkplcT4xck/4SfyLq7Po8OhpjHA4&#10;DJPRB1dfqCXBy60mbx5FwJ0AGkpqUE+DWvHw8yRAcWY+W5qE+bxcRpKYsuL9bREVQMooOLzaFla2&#10;jrQhiUrhPabHMFr18YSu0cn+SGpkQsxjQvOXNExvJQ74yzxVPb/ozS8AAAD//wMAUEsDBBQABgAI&#10;AAAAIQBY9ilI4QAAAA0BAAAPAAAAZHJzL2Rvd25yZXYueG1sTI9BT8MwDIXvSPyHyEjctrRF7UZp&#10;OiEQmpC4MBBnrwlttcYJTdYVfj3eCW6239Pz96rNbAcxmTH0jhSkywSEocbpnloF729PizWIEJE0&#10;Do6Mgm8TYFNfXlRYaneiVzPtYis4hEKJCroYfSllaDpjMSydN8TapxstRl7HVuoRTxxuB5klSSEt&#10;9sQfOvTmoTPNYXe0Cqb5Y4vrF69/Du4R+1bmW//1rNT11Xx/ByKaOf6Z4YzP6FAz094dSQcxKFik&#10;2SpnLyt5egvibClu+LLnIV1lBci6kv9b1L8AAAD//wMAUEsBAi0AFAAGAAgAAAAhALaDOJL+AAAA&#10;4QEAABMAAAAAAAAAAAAAAAAAAAAAAFtDb250ZW50X1R5cGVzXS54bWxQSwECLQAUAAYACAAAACEA&#10;OP0h/9YAAACUAQAACwAAAAAAAAAAAAAAAAAvAQAAX3JlbHMvLnJlbHNQSwECLQAUAAYACAAAACEA&#10;ynjbbBECAAAZBAAADgAAAAAAAAAAAAAAAAAuAgAAZHJzL2Uyb0RvYy54bWxQSwECLQAUAAYACAAA&#10;ACEAWPYpSOEAAAANAQAADwAAAAAAAAAAAAAAAABrBAAAZHJzL2Rvd25yZXYueG1sUEsFBgAAAAAE&#10;AAQA8wAAAHkFAAAAAA==&#10;" fillcolor="white [3201]" stroked="f">
                <v:shadow on="t" color="#c0504d [3205]" origin=".5" offset="-1.5pt,0"/>
                <v:textbox inset="18pt,3.80972mm,0,3.80972mm">
                  <w:txbxContent>
                    <w:p w:rsidR="00783C9F" w:rsidRDefault="00783C9F" w:rsidP="00783C9F">
                      <w:pPr>
                        <w:spacing w:after="240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191919"/>
                          <w:sz w:val="32"/>
                          <w:u w:val="single"/>
                        </w:rPr>
                        <w:t>SARB BOARD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Chairperson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SARB Support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District Attorney Investigator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Education Liaison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DHHS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Superintendent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Superintendent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Principal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Superintendent</w:t>
                      </w:r>
                    </w:p>
                    <w:p w:rsidR="00783C9F" w:rsidRDefault="00783C9F" w:rsidP="00783C9F">
                      <w:pPr>
                        <w:jc w:val="center"/>
                        <w:textDirection w:val="btLr"/>
                      </w:pPr>
                    </w:p>
                    <w:p w:rsidR="00783C9F" w:rsidRPr="00C756CB" w:rsidRDefault="00783C9F" w:rsidP="00783C9F">
                      <w:pPr>
                        <w:jc w:val="center"/>
                        <w:textDirection w:val="btLr"/>
                        <w:rPr>
                          <w:sz w:val="28"/>
                        </w:rPr>
                      </w:pPr>
                    </w:p>
                    <w:p w:rsidR="00783C9F" w:rsidRPr="00C756CB" w:rsidRDefault="00783C9F" w:rsidP="00783C9F">
                      <w:pPr>
                        <w:ind w:left="-90" w:hanging="90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C756CB">
                        <w:rPr>
                          <w:color w:val="000000"/>
                          <w:sz w:val="16"/>
                        </w:rPr>
                        <w:t>Supervising Probation Officer</w:t>
                      </w:r>
                    </w:p>
                    <w:p w:rsidR="00783C9F" w:rsidRPr="00C756CB" w:rsidRDefault="00783C9F" w:rsidP="00783C9F">
                      <w:pPr>
                        <w:ind w:left="-90" w:hanging="90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C756CB">
                        <w:rPr>
                          <w:color w:val="000000"/>
                          <w:sz w:val="16"/>
                        </w:rPr>
                        <w:t>Juvenile Probation</w:t>
                      </w:r>
                    </w:p>
                    <w:p w:rsidR="00783C9F" w:rsidRPr="00C756CB" w:rsidRDefault="00783C9F" w:rsidP="00783C9F">
                      <w:pPr>
                        <w:jc w:val="center"/>
                        <w:textDirection w:val="btLr"/>
                        <w:rPr>
                          <w:sz w:val="28"/>
                        </w:rPr>
                      </w:pPr>
                    </w:p>
                    <w:p w:rsidR="00C756CB" w:rsidRPr="00C756CB" w:rsidRDefault="00C756CB" w:rsidP="00783C9F">
                      <w:pPr>
                        <w:jc w:val="center"/>
                        <w:textDirection w:val="btLr"/>
                        <w:rPr>
                          <w:sz w:val="28"/>
                        </w:rPr>
                      </w:pPr>
                    </w:p>
                    <w:p w:rsidR="00783C9F" w:rsidRPr="00C756CB" w:rsidRDefault="00C756CB" w:rsidP="00783C9F">
                      <w:pPr>
                        <w:ind w:left="-90" w:hanging="90"/>
                        <w:jc w:val="center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C756CB">
                        <w:rPr>
                          <w:color w:val="000000"/>
                          <w:sz w:val="16"/>
                        </w:rPr>
                        <w:t>Family Resource Center</w:t>
                      </w:r>
                    </w:p>
                    <w:p w:rsidR="00C756CB" w:rsidRDefault="00C756CB" w:rsidP="00783C9F">
                      <w:pPr>
                        <w:ind w:left="-90" w:hanging="90"/>
                        <w:jc w:val="center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:rsidR="00C756CB" w:rsidRPr="00C756CB" w:rsidRDefault="00C756CB" w:rsidP="00783C9F">
                      <w:pPr>
                        <w:ind w:left="-90" w:hanging="90"/>
                        <w:jc w:val="center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:rsidR="00C756CB" w:rsidRPr="00C756CB" w:rsidRDefault="00C756CB" w:rsidP="00783C9F">
                      <w:pPr>
                        <w:ind w:left="-90" w:hanging="90"/>
                        <w:jc w:val="center"/>
                        <w:textDirection w:val="btLr"/>
                        <w:rPr>
                          <w:sz w:val="16"/>
                        </w:rPr>
                      </w:pPr>
                      <w:r w:rsidRPr="00C756CB">
                        <w:rPr>
                          <w:sz w:val="16"/>
                        </w:rPr>
                        <w:t>County Office of Education</w:t>
                      </w:r>
                    </w:p>
                    <w:p w:rsidR="00051066" w:rsidRDefault="0005106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</w:p>
    <w:p w:rsidR="00051066" w:rsidRDefault="00783C9F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</w:t>
      </w:r>
    </w:p>
    <w:p w:rsidR="00051066" w:rsidRDefault="00783C9F">
      <w:pPr>
        <w:ind w:left="28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   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RE:  Student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Parent,</w:t>
      </w:r>
    </w:p>
    <w:p w:rsidR="00051066" w:rsidRDefault="00051066">
      <w:pPr>
        <w:jc w:val="both"/>
        <w:rPr>
          <w:rFonts w:ascii="Times New Roman" w:eastAsia="Times New Roman" w:hAnsi="Times New Roman" w:cs="Times New Roman"/>
        </w:rPr>
      </w:pP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and your child () participated in </w:t>
      </w:r>
      <w:proofErr w:type="gramStart"/>
      <w:r>
        <w:rPr>
          <w:rFonts w:ascii="Times New Roman" w:eastAsia="Times New Roman" w:hAnsi="Times New Roman" w:cs="Times New Roman"/>
        </w:rPr>
        <w:t>the  (</w:t>
      </w:r>
      <w:proofErr w:type="gramEnd"/>
      <w:r>
        <w:rPr>
          <w:rFonts w:ascii="Times New Roman" w:eastAsia="Times New Roman" w:hAnsi="Times New Roman" w:cs="Times New Roman"/>
        </w:rPr>
        <w:t>Name of SARB) School Attendance Review Board (SARB) on (    ).  (     ) requested SARB’s additional assistance from this Board in compliance with California Education Code §48263. We are now arranging a follow-up meeting to discuss how your student’s attendance looks.</w:t>
      </w:r>
    </w:p>
    <w:p w:rsidR="00051066" w:rsidRDefault="00051066">
      <w:pPr>
        <w:jc w:val="both"/>
        <w:rPr>
          <w:rFonts w:ascii="Times New Roman" w:eastAsia="Times New Roman" w:hAnsi="Times New Roman" w:cs="Times New Roman"/>
        </w:rPr>
      </w:pP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and your child </w:t>
      </w:r>
      <w:proofErr w:type="gramStart"/>
      <w:r>
        <w:rPr>
          <w:rFonts w:ascii="Times New Roman" w:eastAsia="Times New Roman" w:hAnsi="Times New Roman" w:cs="Times New Roman"/>
        </w:rPr>
        <w:t>are requested</w:t>
      </w:r>
      <w:proofErr w:type="gramEnd"/>
      <w:r>
        <w:rPr>
          <w:rFonts w:ascii="Times New Roman" w:eastAsia="Times New Roman" w:hAnsi="Times New Roman" w:cs="Times New Roman"/>
        </w:rPr>
        <w:t xml:space="preserve"> to appear before the (Name of SARB) School Attendance Review Board at the time and place indicated below </w:t>
      </w:r>
      <w:r>
        <w:rPr>
          <w:rFonts w:ascii="Times New Roman" w:eastAsia="Times New Roman" w:hAnsi="Times New Roman" w:cs="Times New Roman"/>
          <w:b/>
        </w:rPr>
        <w:t>(please note that the location has changed from last year)</w:t>
      </w:r>
      <w:r>
        <w:rPr>
          <w:rFonts w:ascii="Times New Roman" w:eastAsia="Times New Roman" w:hAnsi="Times New Roman" w:cs="Times New Roman"/>
        </w:rPr>
        <w:t>:</w:t>
      </w:r>
    </w:p>
    <w:p w:rsidR="00051066" w:rsidRDefault="00051066">
      <w:pPr>
        <w:jc w:val="both"/>
        <w:rPr>
          <w:rFonts w:ascii="Times New Roman" w:eastAsia="Times New Roman" w:hAnsi="Times New Roman" w:cs="Times New Roman"/>
        </w:rPr>
      </w:pP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</w:p>
    <w:p w:rsidR="00051066" w:rsidRDefault="00783C9F">
      <w:pPr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TIME: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</w:p>
    <w:p w:rsidR="00051066" w:rsidRDefault="00783C9F" w:rsidP="00783C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LOCATION:</w:t>
      </w:r>
      <w:r>
        <w:rPr>
          <w:rFonts w:ascii="Times New Roman" w:eastAsia="Times New Roman" w:hAnsi="Times New Roman" w:cs="Times New Roman"/>
        </w:rPr>
        <w:t xml:space="preserve"> </w:t>
      </w:r>
    </w:p>
    <w:p w:rsidR="00051066" w:rsidRDefault="00051066">
      <w:pPr>
        <w:jc w:val="both"/>
        <w:rPr>
          <w:rFonts w:ascii="Times New Roman" w:eastAsia="Times New Roman" w:hAnsi="Times New Roman" w:cs="Times New Roman"/>
        </w:rPr>
      </w:pPr>
    </w:p>
    <w:p w:rsidR="00051066" w:rsidRDefault="00783C9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Failure to appear may result in referral to the District Attorney’s Office for review of legal proceedings per California Penal Code §270.1 and Education Code §48200.   This hearing </w:t>
      </w:r>
      <w:proofErr w:type="gramStart"/>
      <w:r>
        <w:rPr>
          <w:rFonts w:ascii="Times New Roman" w:eastAsia="Times New Roman" w:hAnsi="Times New Roman" w:cs="Times New Roman"/>
        </w:rPr>
        <w:t>is held</w:t>
      </w:r>
      <w:proofErr w:type="gramEnd"/>
      <w:r>
        <w:rPr>
          <w:rFonts w:ascii="Times New Roman" w:eastAsia="Times New Roman" w:hAnsi="Times New Roman" w:cs="Times New Roman"/>
        </w:rPr>
        <w:t xml:space="preserve"> in closed session in a space compliant with Public Health’s guidelines for health and safety.   The majority of the Board will be joining us and there will be 3-4 people in the meeting space.  Social distancing guidelines will apply. </w:t>
      </w:r>
    </w:p>
    <w:p w:rsidR="00051066" w:rsidRDefault="00051066">
      <w:pPr>
        <w:jc w:val="both"/>
        <w:rPr>
          <w:rFonts w:ascii="Times New Roman" w:eastAsia="Times New Roman" w:hAnsi="Times New Roman" w:cs="Times New Roman"/>
          <w:b/>
        </w:rPr>
      </w:pPr>
    </w:p>
    <w:p w:rsidR="00051066" w:rsidRPr="00783C9F" w:rsidRDefault="00783C9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It is our sincere hope that we may reach a prompt resolution of your child’s attendance difficulties. If you have questions or concerns, please call me at (</w:t>
      </w:r>
      <w:r>
        <w:rPr>
          <w:rFonts w:ascii="Times New Roman" w:eastAsia="Times New Roman" w:hAnsi="Times New Roman" w:cs="Times New Roman"/>
          <w:b/>
        </w:rPr>
        <w:t>Phone Numbers)</w:t>
      </w:r>
    </w:p>
    <w:p w:rsidR="00051066" w:rsidRDefault="00051066">
      <w:pPr>
        <w:jc w:val="both"/>
        <w:rPr>
          <w:rFonts w:ascii="Times New Roman" w:eastAsia="Times New Roman" w:hAnsi="Times New Roman" w:cs="Times New Roman"/>
        </w:rPr>
      </w:pPr>
    </w:p>
    <w:p w:rsidR="00051066" w:rsidRDefault="00051066">
      <w:pPr>
        <w:jc w:val="both"/>
        <w:rPr>
          <w:rFonts w:ascii="Times New Roman" w:eastAsia="Times New Roman" w:hAnsi="Times New Roman" w:cs="Times New Roman"/>
        </w:rPr>
      </w:pPr>
    </w:p>
    <w:p w:rsidR="00051066" w:rsidRDefault="00051066">
      <w:pPr>
        <w:jc w:val="both"/>
        <w:rPr>
          <w:rFonts w:ascii="Times New Roman" w:eastAsia="Times New Roman" w:hAnsi="Times New Roman" w:cs="Times New Roman"/>
        </w:rPr>
      </w:pPr>
    </w:p>
    <w:p w:rsidR="00051066" w:rsidRDefault="00783C9F" w:rsidP="00783C9F">
      <w:pPr>
        <w:tabs>
          <w:tab w:val="left" w:pos="133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051066" w:rsidRDefault="00051066">
      <w:pPr>
        <w:jc w:val="both"/>
        <w:rPr>
          <w:rFonts w:ascii="Times New Roman" w:eastAsia="Times New Roman" w:hAnsi="Times New Roman" w:cs="Times New Roman"/>
        </w:rPr>
      </w:pPr>
    </w:p>
    <w:p w:rsidR="00051066" w:rsidRDefault="00783C9F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Chairperson</w:t>
      </w:r>
    </w:p>
    <w:sectPr w:rsidR="00051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81" w:right="1440" w:bottom="1440" w:left="1440" w:header="5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A7" w:rsidRDefault="00783C9F">
      <w:r>
        <w:separator/>
      </w:r>
    </w:p>
  </w:endnote>
  <w:endnote w:type="continuationSeparator" w:id="0">
    <w:p w:rsidR="00230CA7" w:rsidRDefault="0078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664" w:rsidRDefault="00F65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66" w:rsidRDefault="00DD32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60"/>
      <w:rPr>
        <w:color w:val="000000"/>
      </w:rPr>
    </w:pPr>
    <w:r>
      <w:rPr>
        <w:color w:val="000000"/>
      </w:rPr>
      <w:t xml:space="preserve">        </w:t>
    </w:r>
    <w:r w:rsidR="00DD7AFA">
      <w:rPr>
        <w:color w:val="000000"/>
      </w:rPr>
      <w:t xml:space="preserve">  </w:t>
    </w:r>
    <w:r w:rsidR="00C675AD">
      <w:rPr>
        <w:color w:val="000000"/>
      </w:rPr>
      <w:tab/>
    </w:r>
    <w:r w:rsidR="00DD7AFA">
      <w:rPr>
        <w:color w:val="000000"/>
      </w:rPr>
      <w:t xml:space="preserve"> </w:t>
    </w:r>
    <w:r w:rsidR="00DD7AFA" w:rsidRPr="00DD7AFA">
      <w:rPr>
        <w:color w:val="000000"/>
        <w:sz w:val="20"/>
      </w:rPr>
      <w:t>1</w:t>
    </w:r>
    <w:r w:rsidR="00F65664">
      <w:rPr>
        <w:color w:val="000000"/>
        <w:sz w:val="20"/>
      </w:rPr>
      <w:t>4</w:t>
    </w:r>
    <w:bookmarkStart w:id="1" w:name="_GoBack"/>
    <w:bookmarkEnd w:id="1"/>
    <w:r w:rsidR="00DD7AFA" w:rsidRPr="00DD7AFA">
      <w:rPr>
        <w:color w:val="000000"/>
        <w:sz w:val="20"/>
      </w:rPr>
      <w:t>(a) Notification to Second SARB Hearing – English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664" w:rsidRDefault="00F65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A7" w:rsidRDefault="00783C9F">
      <w:r>
        <w:separator/>
      </w:r>
    </w:p>
  </w:footnote>
  <w:footnote w:type="continuationSeparator" w:id="0">
    <w:p w:rsidR="00230CA7" w:rsidRDefault="0078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664" w:rsidRDefault="00F65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9F" w:rsidRDefault="00783C9F" w:rsidP="00783C9F">
    <w:pPr>
      <w:pStyle w:val="Heading3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(SARB Name)</w:t>
    </w:r>
  </w:p>
  <w:p w:rsidR="00783C9F" w:rsidRDefault="00783C9F" w:rsidP="00783C9F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School Attendance Review Board</w:t>
    </w:r>
  </w:p>
  <w:p w:rsidR="00783C9F" w:rsidRDefault="00783C9F" w:rsidP="00783C9F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Meeting Location</w:t>
    </w:r>
  </w:p>
  <w:p w:rsidR="00783C9F" w:rsidRDefault="00783C9F" w:rsidP="00783C9F">
    <w:pPr>
      <w:jc w:val="center"/>
    </w:pPr>
    <w:r>
      <w:rPr>
        <w:rFonts w:ascii="Times New Roman" w:eastAsia="Times New Roman" w:hAnsi="Times New Roman" w:cs="Times New Roman"/>
      </w:rPr>
      <w:t>Chairperson</w:t>
    </w:r>
  </w:p>
  <w:p w:rsidR="00783C9F" w:rsidRDefault="00783C9F" w:rsidP="00783C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</w:rPr>
    </w:pPr>
  </w:p>
  <w:p w:rsidR="00051066" w:rsidRPr="00783C9F" w:rsidRDefault="00051066" w:rsidP="00783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664" w:rsidRDefault="00F65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66"/>
    <w:rsid w:val="00051066"/>
    <w:rsid w:val="000E1ED1"/>
    <w:rsid w:val="00226432"/>
    <w:rsid w:val="00230CA7"/>
    <w:rsid w:val="00783C9F"/>
    <w:rsid w:val="00B465FD"/>
    <w:rsid w:val="00B76BC3"/>
    <w:rsid w:val="00C675AD"/>
    <w:rsid w:val="00C756CB"/>
    <w:rsid w:val="00DD322B"/>
    <w:rsid w:val="00DD7AFA"/>
    <w:rsid w:val="00F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53DF27"/>
  <w15:docId w15:val="{FFED0BF8-4450-4847-9381-516F37DF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center"/>
      <w:outlineLvl w:val="0"/>
    </w:pPr>
    <w:rPr>
      <w:b/>
      <w:color w:val="3E5062"/>
      <w:sz w:val="32"/>
      <w:szCs w:val="32"/>
    </w:rPr>
  </w:style>
  <w:style w:type="paragraph" w:styleId="Heading2">
    <w:name w:val="heading 2"/>
    <w:basedOn w:val="Normal"/>
    <w:next w:val="Normal"/>
    <w:pPr>
      <w:jc w:val="center"/>
      <w:outlineLvl w:val="1"/>
    </w:pPr>
    <w:rPr>
      <w:b/>
      <w:color w:val="3E5062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8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9F"/>
  </w:style>
  <w:style w:type="paragraph" w:styleId="Footer">
    <w:name w:val="footer"/>
    <w:basedOn w:val="Normal"/>
    <w:link w:val="FooterChar"/>
    <w:uiPriority w:val="99"/>
    <w:unhideWhenUsed/>
    <w:rsid w:val="0078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9F"/>
  </w:style>
  <w:style w:type="paragraph" w:styleId="BalloonText">
    <w:name w:val="Balloon Text"/>
    <w:basedOn w:val="Normal"/>
    <w:link w:val="BalloonTextChar"/>
    <w:uiPriority w:val="99"/>
    <w:semiHidden/>
    <w:unhideWhenUsed/>
    <w:rsid w:val="00B76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Office of Education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Wadsworth</dc:creator>
  <cp:lastModifiedBy>Gillian Wadsworth</cp:lastModifiedBy>
  <cp:revision>9</cp:revision>
  <cp:lastPrinted>2022-01-06T22:12:00Z</cp:lastPrinted>
  <dcterms:created xsi:type="dcterms:W3CDTF">2021-12-29T22:00:00Z</dcterms:created>
  <dcterms:modified xsi:type="dcterms:W3CDTF">2022-02-03T22:06:00Z</dcterms:modified>
</cp:coreProperties>
</file>