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F6" w:rsidRDefault="00CF56F6">
      <w:pPr>
        <w:spacing w:after="120"/>
        <w:rPr>
          <w:sz w:val="22"/>
          <w:szCs w:val="22"/>
        </w:rPr>
      </w:pPr>
    </w:p>
    <w:p w:rsidR="00CF56F6" w:rsidRDefault="00CF56F6">
      <w:pPr>
        <w:rPr>
          <w:sz w:val="22"/>
          <w:szCs w:val="22"/>
        </w:rPr>
      </w:pPr>
    </w:p>
    <w:p w:rsidR="00CF56F6" w:rsidRDefault="00CF56F6">
      <w:pPr>
        <w:rPr>
          <w:sz w:val="22"/>
          <w:szCs w:val="22"/>
        </w:rPr>
      </w:pPr>
    </w:p>
    <w:p w:rsidR="00CF56F6" w:rsidRDefault="00787A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228600" distR="228600" simplePos="0" relativeHeight="251659264" behindDoc="0" locked="0" layoutInCell="1" hidden="0" allowOverlap="1">
                <wp:simplePos x="0" y="0"/>
                <wp:positionH relativeFrom="margin">
                  <wp:posOffset>-819147</wp:posOffset>
                </wp:positionH>
                <wp:positionV relativeFrom="margin">
                  <wp:posOffset>960120</wp:posOffset>
                </wp:positionV>
                <wp:extent cx="1428750" cy="6273038"/>
                <wp:effectExtent l="0" t="0" r="0" b="0"/>
                <wp:wrapSquare wrapText="bothSides" distT="0" distB="0" distL="228600" distR="2286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150" y="636750"/>
                          <a:ext cx="140970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txbx>
                        <w:txbxContent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191919"/>
                                <w:sz w:val="28"/>
                                <w:u w:val="single"/>
                              </w:rPr>
                              <w:t xml:space="preserve">JUNTA EXAMINADORA </w:t>
                            </w: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191919"/>
                                <w:sz w:val="28"/>
                                <w:u w:val="single"/>
                              </w:rPr>
                              <w:t>DE ASISTENCIA ESCOLAR</w:t>
                            </w:r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Presidente</w:t>
                            </w:r>
                            <w:proofErr w:type="spellEnd"/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la SARB</w:t>
                            </w: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Investigador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del fiscal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distrito</w:t>
                            </w:r>
                            <w:proofErr w:type="spellEnd"/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condado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Enlace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educación</w:t>
                            </w:r>
                            <w:proofErr w:type="spellEnd"/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Salud</w:t>
                            </w:r>
                            <w:proofErr w:type="spellEnd"/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Servicios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Humanos</w:t>
                            </w:r>
                            <w:proofErr w:type="spellEnd"/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Superintendente</w:t>
                            </w:r>
                            <w:proofErr w:type="spellEnd"/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Superintendente</w:t>
                            </w:r>
                            <w:proofErr w:type="spellEnd"/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Directores</w:t>
                            </w:r>
                            <w:proofErr w:type="spellEnd"/>
                          </w:p>
                          <w:p w:rsidR="00CF56F6" w:rsidRDefault="00787A33" w:rsidP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Distrito Escolar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Escuelas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Jóvenes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indigentes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y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crianza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temporal </w:t>
                            </w: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Enlace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juvenil</w:t>
                            </w:r>
                            <w:proofErr w:type="spellEnd"/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787A33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Policía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</w:t>
                            </w:r>
                          </w:p>
                          <w:p w:rsidR="00787A33" w:rsidRDefault="00787A33">
                            <w:pPr>
                              <w:ind w:left="-141" w:hanging="232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CF56F6" w:rsidRDefault="00787A33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Funcionaria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supervisora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CF56F6" w:rsidRDefault="00787A33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libertad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condicional</w:t>
                            </w:r>
                            <w:proofErr w:type="spellEnd"/>
                          </w:p>
                          <w:p w:rsidR="00CF56F6" w:rsidRDefault="00787A33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Libertad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provisoria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juvenil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CF56F6" w:rsidRDefault="00787A33">
                            <w:pPr>
                              <w:ind w:left="-141" w:hanging="23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condado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de Humboldt</w:t>
                            </w:r>
                          </w:p>
                          <w:p w:rsidR="00CF56F6" w:rsidRDefault="00CF56F6">
                            <w:pPr>
                              <w:ind w:left="-141" w:hanging="141"/>
                              <w:jc w:val="center"/>
                              <w:textDirection w:val="btLr"/>
                            </w:pPr>
                          </w:p>
                          <w:p w:rsidR="00CF56F6" w:rsidRDefault="00CF56F6">
                            <w:pPr>
                              <w:jc w:val="center"/>
                              <w:textDirection w:val="btLr"/>
                            </w:pPr>
                          </w:p>
                          <w:p w:rsidR="00CF56F6" w:rsidRDefault="00CF56F6">
                            <w:pPr>
                              <w:jc w:val="center"/>
                              <w:textDirection w:val="btLr"/>
                            </w:pPr>
                          </w:p>
                          <w:p w:rsidR="00CF56F6" w:rsidRDefault="00CF56F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228600" tIns="137150" rIns="0" bIns="1371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64.5pt;margin-top:75.6pt;width:112.5pt;height:493.95pt;z-index:251659264;visibility:visible;mso-wrap-style:square;mso-wrap-distance-left:18pt;mso-wrap-distance-top:0;mso-wrap-distance-right:18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" fillcolor="white [3201]" stroked="f">
                <v:shadow on="t" color="#c0504d [3205]" origin=".5" offset="-1.5pt,0"/>
                <v:textbox inset="18pt,3.80972mm,0,3.80972mm">
                  <w:txbxContent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191919"/>
                          <w:sz w:val="28"/>
                          <w:u w:val="single"/>
                        </w:rPr>
                        <w:t xml:space="preserve">JUNTA EXAMINADORA </w:t>
                      </w: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191919"/>
                          <w:sz w:val="28"/>
                          <w:u w:val="single"/>
                        </w:rPr>
                        <w:t>DE ASISTENCIA ESCOLAR</w:t>
                      </w:r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Presidente</w:t>
                      </w:r>
                      <w:proofErr w:type="spellEnd"/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Apoyo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la SARB</w:t>
                      </w: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Investigador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del fiscal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distrito</w:t>
                      </w:r>
                      <w:proofErr w:type="spellEnd"/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condado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Enlace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educación</w:t>
                      </w:r>
                      <w:proofErr w:type="spellEnd"/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Departamento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Salud</w:t>
                      </w:r>
                      <w:proofErr w:type="spellEnd"/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y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Servicios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Humanos</w:t>
                      </w:r>
                      <w:proofErr w:type="spellEnd"/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Superintendente</w:t>
                      </w:r>
                      <w:proofErr w:type="spellEnd"/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Superintendente</w:t>
                      </w:r>
                      <w:proofErr w:type="spellEnd"/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Directores</w:t>
                      </w:r>
                      <w:proofErr w:type="spellEnd"/>
                    </w:p>
                    <w:p w:rsidR="00CF56F6" w:rsidRDefault="00787A33" w:rsidP="00787A33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Distrito Escolar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Escuelas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Jóvenes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indigentes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y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crianza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temporal </w:t>
                      </w: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Enlace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juvenil</w:t>
                      </w:r>
                      <w:proofErr w:type="spellEnd"/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787A33">
                      <w:pPr>
                        <w:ind w:left="-141" w:hanging="141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Departamento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Policía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</w:t>
                      </w:r>
                    </w:p>
                    <w:p w:rsidR="00787A33" w:rsidRDefault="00787A33">
                      <w:pPr>
                        <w:ind w:left="-141" w:hanging="232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:rsidR="00CF56F6" w:rsidRDefault="00787A33">
                      <w:pPr>
                        <w:ind w:left="-141" w:hanging="232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6"/>
                        </w:rPr>
                        <w:t>Funcionaria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supervisora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CF56F6" w:rsidRDefault="00787A33">
                      <w:pPr>
                        <w:ind w:left="-141" w:hanging="232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libertad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condicional</w:t>
                      </w:r>
                      <w:proofErr w:type="spellEnd"/>
                    </w:p>
                    <w:p w:rsidR="00CF56F6" w:rsidRDefault="00787A33">
                      <w:pPr>
                        <w:ind w:left="-141" w:hanging="232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Libertad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provisoria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juvenil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CF56F6" w:rsidRDefault="00787A33">
                      <w:pPr>
                        <w:ind w:left="-141" w:hanging="232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condado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de Humboldt</w:t>
                      </w:r>
                    </w:p>
                    <w:p w:rsidR="00CF56F6" w:rsidRDefault="00CF56F6">
                      <w:pPr>
                        <w:ind w:left="-141" w:hanging="141"/>
                        <w:jc w:val="center"/>
                        <w:textDirection w:val="btLr"/>
                      </w:pPr>
                    </w:p>
                    <w:p w:rsidR="00CF56F6" w:rsidRDefault="00CF56F6">
                      <w:pPr>
                        <w:jc w:val="center"/>
                        <w:textDirection w:val="btLr"/>
                      </w:pPr>
                    </w:p>
                    <w:p w:rsidR="00CF56F6" w:rsidRDefault="00CF56F6">
                      <w:pPr>
                        <w:jc w:val="center"/>
                        <w:textDirection w:val="btLr"/>
                      </w:pPr>
                    </w:p>
                    <w:p w:rsidR="00CF56F6" w:rsidRDefault="00CF56F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F56F6" w:rsidRDefault="00CF56F6">
      <w:pPr>
        <w:jc w:val="both"/>
        <w:rPr>
          <w:rFonts w:ascii="Times New Roman" w:eastAsia="Times New Roman" w:hAnsi="Times New Roman" w:cs="Times New Roman"/>
        </w:rPr>
      </w:pPr>
    </w:p>
    <w:p w:rsidR="00CF56F6" w:rsidRDefault="00787A33">
      <w:pPr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sz w:val="22"/>
          <w:szCs w:val="22"/>
        </w:rPr>
        <w:t xml:space="preserve">NOTIFICACIÓN DE </w:t>
      </w:r>
      <w:r w:rsidR="00C84040">
        <w:rPr>
          <w:rFonts w:ascii="Arial Black" w:eastAsia="Arial Black" w:hAnsi="Arial Black" w:cs="Arial Black"/>
          <w:sz w:val="22"/>
          <w:szCs w:val="22"/>
        </w:rPr>
        <w:t xml:space="preserve">SEGUNDA </w:t>
      </w:r>
      <w:r>
        <w:rPr>
          <w:rFonts w:ascii="Arial Black" w:eastAsia="Arial Black" w:hAnsi="Arial Black" w:cs="Arial Black"/>
          <w:sz w:val="22"/>
          <w:szCs w:val="22"/>
        </w:rPr>
        <w:t>AUDIENCIA: CITACIÓN</w:t>
      </w:r>
    </w:p>
    <w:p w:rsidR="00CF56F6" w:rsidRDefault="00787A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Fecha</w:t>
      </w:r>
      <w:proofErr w:type="spellEnd"/>
    </w:p>
    <w:p w:rsidR="00CF56F6" w:rsidRDefault="00787A33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Nombre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Dirección</w:t>
      </w:r>
      <w:proofErr w:type="spellEnd"/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Dirección</w:t>
      </w:r>
      <w:proofErr w:type="spellEnd"/>
    </w:p>
    <w:p w:rsidR="00CF56F6" w:rsidRDefault="00787A33">
      <w:pPr>
        <w:ind w:left="288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ASUNTO: 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Estimado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a) padre/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madre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participaron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 Junta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Examinadora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Escolar (SARB,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siglas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inglés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de </w:t>
      </w:r>
      <w:r w:rsidR="006B36EB">
        <w:rPr>
          <w:rFonts w:ascii="Times New Roman" w:eastAsia="Times New Roman" w:hAnsi="Times New Roman" w:cs="Times New Roman"/>
          <w:sz w:val="22"/>
          <w:szCs w:val="22"/>
        </w:rPr>
        <w:t>(SARB Region)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el ___________________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solicitó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adicional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la SARB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Junta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conformidad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Sección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48263 del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Código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California.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estamos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organizando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reunión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seguimiento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analizar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cómo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a).</w:t>
      </w: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solicita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comparezcan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ante la Junta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Examinadora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Escolar de </w:t>
      </w:r>
      <w:r w:rsidR="006B36EB">
        <w:rPr>
          <w:rFonts w:ascii="Times New Roman" w:eastAsia="Times New Roman" w:hAnsi="Times New Roman" w:cs="Times New Roman"/>
          <w:sz w:val="22"/>
          <w:szCs w:val="22"/>
        </w:rPr>
        <w:t>(SARB region)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la hora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lugar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indican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continuación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tenga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cuenta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sede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cambiado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respecto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año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pasado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FECHA: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CF56F6" w:rsidRDefault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HORA: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CF56F6" w:rsidRDefault="00787A33" w:rsidP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SEDE: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87A33" w:rsidRDefault="00787A33" w:rsidP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7A33" w:rsidRDefault="00787A33" w:rsidP="00787A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787A33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falta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comparecencia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puede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lugar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remisión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Oficina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del Fiscal de Distrito para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revisión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procedimientos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legales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según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Sección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270.1 del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Código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Penal de California y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Sección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48200 del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Código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audiencia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lleva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sesión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cerrada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un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espacio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cumple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 las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pautas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salud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seguridad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Salud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Pública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implementarán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pautas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distanciamiento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social. </w:t>
      </w:r>
    </w:p>
    <w:p w:rsidR="00CF56F6" w:rsidRDefault="00CF56F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F56F6" w:rsidRDefault="00787A33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Esperamos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sinceramente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podamos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llegar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pronta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resolución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dificultades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a). Si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tiene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preguntas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inquietudes,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llámeme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proofErr w:type="spellStart"/>
      <w:r w:rsidR="00B40442">
        <w:rPr>
          <w:rFonts w:ascii="Times New Roman" w:eastAsia="Times New Roman" w:hAnsi="Times New Roman" w:cs="Times New Roman"/>
          <w:b/>
          <w:sz w:val="22"/>
          <w:szCs w:val="22"/>
        </w:rPr>
        <w:t>numero</w:t>
      </w:r>
      <w:proofErr w:type="spellEnd"/>
      <w:r w:rsidR="00B40442">
        <w:rPr>
          <w:rFonts w:ascii="Times New Roman" w:eastAsia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B40442">
        <w:rPr>
          <w:rFonts w:ascii="Times New Roman" w:eastAsia="Times New Roman" w:hAnsi="Times New Roman" w:cs="Times New Roman"/>
          <w:b/>
          <w:sz w:val="22"/>
          <w:szCs w:val="22"/>
        </w:rPr>
        <w:t>telefono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="00B40442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787A33" w:rsidP="00787A33">
      <w:pPr>
        <w:tabs>
          <w:tab w:val="left" w:pos="1141"/>
        </w:tabs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87A33" w:rsidRDefault="00787A33" w:rsidP="00787A33">
      <w:pPr>
        <w:jc w:val="center"/>
      </w:pPr>
      <w:proofErr w:type="spellStart"/>
      <w:r>
        <w:rPr>
          <w:rFonts w:ascii="Times New Roman" w:eastAsia="Times New Roman" w:hAnsi="Times New Roman" w:cs="Times New Roman"/>
        </w:rPr>
        <w:t>Contacto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</w:rPr>
        <w:t>coordinadora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87A33" w:rsidRDefault="00787A33" w:rsidP="00787A3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720"/>
        <w:rPr>
          <w:color w:val="000000"/>
        </w:rPr>
      </w:pPr>
    </w:p>
    <w:p w:rsidR="00CF56F6" w:rsidRDefault="00CF56F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6F6" w:rsidRDefault="00787A33" w:rsidP="00787A33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</w:p>
    <w:sectPr w:rsidR="00CF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81" w:right="1440" w:bottom="1440" w:left="1440" w:header="5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CC" w:rsidRDefault="00787A33">
      <w:r>
        <w:separator/>
      </w:r>
    </w:p>
  </w:endnote>
  <w:endnote w:type="continuationSeparator" w:id="0">
    <w:p w:rsidR="00E35FCC" w:rsidRDefault="0078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Default="00762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6" w:rsidRPr="00106315" w:rsidRDefault="00B404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60"/>
      <w:rPr>
        <w:color w:val="000000"/>
        <w:sz w:val="20"/>
      </w:rPr>
    </w:pPr>
    <w:r>
      <w:rPr>
        <w:color w:val="000000"/>
        <w:sz w:val="20"/>
      </w:rPr>
      <w:tab/>
    </w:r>
    <w:r w:rsidR="006B36EB" w:rsidRPr="00106315">
      <w:rPr>
        <w:color w:val="000000"/>
        <w:sz w:val="20"/>
      </w:rPr>
      <w:t>1</w:t>
    </w:r>
    <w:r w:rsidR="005B74E4">
      <w:rPr>
        <w:color w:val="000000"/>
        <w:sz w:val="20"/>
      </w:rPr>
      <w:t>4</w:t>
    </w:r>
    <w:bookmarkStart w:id="1" w:name="_GoBack"/>
    <w:bookmarkEnd w:id="1"/>
    <w:r w:rsidR="006B36EB" w:rsidRPr="00106315">
      <w:rPr>
        <w:color w:val="000000"/>
        <w:sz w:val="20"/>
      </w:rPr>
      <w:t>(b) – Notification of Second SARB Hearing -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Default="00762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CC" w:rsidRDefault="00787A33">
      <w:r>
        <w:separator/>
      </w:r>
    </w:p>
  </w:footnote>
  <w:footnote w:type="continuationSeparator" w:id="0">
    <w:p w:rsidR="00E35FCC" w:rsidRDefault="0078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Default="00762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6" w:rsidRDefault="00787A33">
    <w:pPr>
      <w:pStyle w:val="Heading3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(Name of SARB)</w:t>
    </w:r>
  </w:p>
  <w:p w:rsidR="00CF56F6" w:rsidRDefault="00787A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Junta </w:t>
    </w:r>
    <w:proofErr w:type="spellStart"/>
    <w:r>
      <w:rPr>
        <w:rFonts w:ascii="Times New Roman" w:eastAsia="Times New Roman" w:hAnsi="Times New Roman" w:cs="Times New Roman"/>
      </w:rPr>
      <w:t>Examinadora</w:t>
    </w:r>
    <w:proofErr w:type="spellEnd"/>
    <w:r>
      <w:rPr>
        <w:rFonts w:ascii="Times New Roman" w:eastAsia="Times New Roman" w:hAnsi="Times New Roman" w:cs="Times New Roman"/>
      </w:rPr>
      <w:t xml:space="preserve"> de </w:t>
    </w:r>
    <w:proofErr w:type="spellStart"/>
    <w:r>
      <w:rPr>
        <w:rFonts w:ascii="Times New Roman" w:eastAsia="Times New Roman" w:hAnsi="Times New Roman" w:cs="Times New Roman"/>
      </w:rPr>
      <w:t>Asistencia</w:t>
    </w:r>
    <w:proofErr w:type="spellEnd"/>
    <w:r>
      <w:rPr>
        <w:rFonts w:ascii="Times New Roman" w:eastAsia="Times New Roman" w:hAnsi="Times New Roman" w:cs="Times New Roman"/>
      </w:rPr>
      <w:t xml:space="preserve"> Escolar</w:t>
    </w:r>
  </w:p>
  <w:p w:rsidR="00787A33" w:rsidRDefault="00787A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(Sala de reunions)</w:t>
    </w:r>
  </w:p>
  <w:p w:rsidR="00CF56F6" w:rsidRDefault="00787A33">
    <w:pPr>
      <w:jc w:val="center"/>
    </w:pPr>
    <w:proofErr w:type="spellStart"/>
    <w:r>
      <w:rPr>
        <w:rFonts w:ascii="Times New Roman" w:eastAsia="Times New Roman" w:hAnsi="Times New Roman" w:cs="Times New Roman"/>
      </w:rPr>
      <w:t>Contacto</w:t>
    </w:r>
    <w:proofErr w:type="spellEnd"/>
    <w:r>
      <w:rPr>
        <w:rFonts w:ascii="Times New Roman" w:eastAsia="Times New Roman" w:hAnsi="Times New Roman" w:cs="Times New Roman"/>
      </w:rPr>
      <w:t xml:space="preserve">:  </w:t>
    </w:r>
    <w:proofErr w:type="spellStart"/>
    <w:r>
      <w:rPr>
        <w:rFonts w:ascii="Times New Roman" w:eastAsia="Times New Roman" w:hAnsi="Times New Roman" w:cs="Times New Roman"/>
      </w:rPr>
      <w:t>coordinadora</w:t>
    </w:r>
    <w:proofErr w:type="spellEnd"/>
    <w:r>
      <w:rPr>
        <w:rFonts w:ascii="Times New Roman" w:eastAsia="Times New Roman" w:hAnsi="Times New Roman" w:cs="Times New Roman"/>
      </w:rPr>
      <w:t xml:space="preserve"> </w:t>
    </w:r>
  </w:p>
  <w:p w:rsidR="00CF56F6" w:rsidRDefault="00CF56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Default="00762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F6"/>
    <w:rsid w:val="00106315"/>
    <w:rsid w:val="003F47C7"/>
    <w:rsid w:val="005B74E4"/>
    <w:rsid w:val="006B36EB"/>
    <w:rsid w:val="00762E0E"/>
    <w:rsid w:val="00787A33"/>
    <w:rsid w:val="00B40442"/>
    <w:rsid w:val="00C84040"/>
    <w:rsid w:val="00CF56F6"/>
    <w:rsid w:val="00E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05D830"/>
  <w15:docId w15:val="{AF85EA7C-1147-4DED-B932-0EA152B3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color w:val="3E5062"/>
      <w:sz w:val="32"/>
      <w:szCs w:val="32"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b/>
      <w:color w:val="3E506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2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8DC"/>
  </w:style>
  <w:style w:type="paragraph" w:styleId="Footer">
    <w:name w:val="footer"/>
    <w:basedOn w:val="Normal"/>
    <w:link w:val="FooterChar"/>
    <w:uiPriority w:val="99"/>
    <w:unhideWhenUsed/>
    <w:rsid w:val="00A82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tDqIQjPwvt/8TIv7lhq5aarOg==">AMUW2mUBTBESeQh9wHQSbCuVEsHRlQ/6whxpVI/oUKLkkUxxEiavtm1/rRam6k1yyLNWbVXtsEVNVhLJh1khGBr/SHwJda0gmIvQuIbZ6Hxsztxvng8JE0EqnkwEj9ExdZ1RzwxNoUOR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Wadsworth</dc:creator>
  <cp:lastModifiedBy>Gillian Wadsworth</cp:lastModifiedBy>
  <cp:revision>9</cp:revision>
  <dcterms:created xsi:type="dcterms:W3CDTF">2021-11-29T20:31:00Z</dcterms:created>
  <dcterms:modified xsi:type="dcterms:W3CDTF">2022-02-03T22:06:00Z</dcterms:modified>
</cp:coreProperties>
</file>